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F6" w:rsidRPr="000A76F6" w:rsidRDefault="000A76F6" w:rsidP="000A76F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6F6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0A76F6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C362F6" w:rsidRPr="00C068E3">
        <w:rPr>
          <w:rFonts w:ascii="Times New Roman" w:hAnsi="Times New Roman" w:cs="Times New Roman"/>
          <w:sz w:val="24"/>
          <w:szCs w:val="24"/>
        </w:rPr>
        <w:t>.202</w:t>
      </w:r>
      <w:r w:rsidR="00C3756C">
        <w:rPr>
          <w:rFonts w:ascii="Times New Roman" w:hAnsi="Times New Roman" w:cs="Times New Roman"/>
          <w:sz w:val="24"/>
          <w:szCs w:val="24"/>
        </w:rPr>
        <w:t>3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г.                                         </w:t>
      </w:r>
      <w:r w:rsidR="008A1025" w:rsidRPr="00C068E3">
        <w:rPr>
          <w:rFonts w:ascii="Times New Roman" w:hAnsi="Times New Roman" w:cs="Times New Roman"/>
          <w:sz w:val="24"/>
          <w:szCs w:val="24"/>
        </w:rPr>
        <w:t xml:space="preserve">   </w:t>
      </w:r>
      <w:r w:rsidR="00C068E3">
        <w:rPr>
          <w:rFonts w:ascii="Times New Roman" w:hAnsi="Times New Roman" w:cs="Times New Roman"/>
          <w:sz w:val="24"/>
          <w:szCs w:val="24"/>
        </w:rPr>
        <w:t xml:space="preserve">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п. Ильичево                                               </w:t>
      </w:r>
      <w:r w:rsidR="00C068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025" w:rsidRPr="00C068E3">
        <w:rPr>
          <w:rFonts w:ascii="Times New Roman" w:hAnsi="Times New Roman" w:cs="Times New Roman"/>
          <w:sz w:val="24"/>
          <w:szCs w:val="24"/>
        </w:rPr>
        <w:t xml:space="preserve">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D4B5F" w:rsidRPr="00C068E3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068E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C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068E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C3756C">
        <w:rPr>
          <w:rFonts w:ascii="Times New Roman" w:hAnsi="Times New Roman" w:cs="Times New Roman"/>
          <w:sz w:val="24"/>
          <w:szCs w:val="24"/>
        </w:rPr>
        <w:t>4</w:t>
      </w:r>
      <w:r w:rsidRPr="00C068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C068E3">
        <w:rPr>
          <w:sz w:val="24"/>
          <w:szCs w:val="24"/>
        </w:rPr>
        <w:tab/>
      </w:r>
      <w:proofErr w:type="gramStart"/>
      <w:r w:rsidRPr="00C068E3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C068E3">
        <w:rPr>
          <w:color w:val="333333"/>
          <w:sz w:val="24"/>
          <w:szCs w:val="24"/>
        </w:rPr>
        <w:t xml:space="preserve"> (ущерба) охраняемым законом ценностям", руководствуясь Уставом Ильичевского сельсовета</w:t>
      </w: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C068E3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C068E3">
        <w:rPr>
          <w:bCs/>
          <w:color w:val="333333"/>
          <w:sz w:val="24"/>
          <w:szCs w:val="24"/>
        </w:rPr>
        <w:t>ПОСТАНОВЛЯЮ:</w:t>
      </w:r>
    </w:p>
    <w:p w:rsidR="00C362F6" w:rsidRPr="00C068E3" w:rsidRDefault="00C362F6" w:rsidP="00C362F6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3B6568" w:rsidRDefault="00C362F6" w:rsidP="003B6568">
      <w:pPr>
        <w:pStyle w:val="a7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color w:val="333333"/>
          <w:sz w:val="24"/>
          <w:szCs w:val="24"/>
        </w:rPr>
      </w:pPr>
      <w:r w:rsidRPr="003B6568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</w:t>
      </w:r>
      <w:r w:rsidR="001D4B5F" w:rsidRPr="003B6568">
        <w:rPr>
          <w:sz w:val="24"/>
          <w:szCs w:val="24"/>
        </w:rPr>
        <w:t xml:space="preserve">в сфере благоустройства </w:t>
      </w:r>
      <w:r w:rsidRPr="003B6568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Pr="003B6568">
        <w:rPr>
          <w:bCs/>
          <w:sz w:val="24"/>
          <w:szCs w:val="24"/>
        </w:rPr>
        <w:t>Ильичевский</w:t>
      </w:r>
      <w:proofErr w:type="spellEnd"/>
      <w:r w:rsidRPr="003B6568">
        <w:rPr>
          <w:bCs/>
          <w:sz w:val="24"/>
          <w:szCs w:val="24"/>
        </w:rPr>
        <w:t xml:space="preserve"> сельсовет» на 202</w:t>
      </w:r>
      <w:r w:rsidR="00C3756C" w:rsidRPr="003B6568">
        <w:rPr>
          <w:bCs/>
          <w:sz w:val="24"/>
          <w:szCs w:val="24"/>
        </w:rPr>
        <w:t>4</w:t>
      </w:r>
      <w:r w:rsidRPr="003B6568">
        <w:rPr>
          <w:bCs/>
          <w:sz w:val="24"/>
          <w:szCs w:val="24"/>
        </w:rPr>
        <w:t xml:space="preserve"> год</w:t>
      </w:r>
      <w:r w:rsidRPr="003B6568">
        <w:rPr>
          <w:color w:val="333333"/>
          <w:sz w:val="24"/>
          <w:szCs w:val="24"/>
        </w:rPr>
        <w:t>, согласно приложению.</w:t>
      </w:r>
    </w:p>
    <w:p w:rsidR="00C362F6" w:rsidRPr="003B6568" w:rsidRDefault="00C362F6" w:rsidP="003B6568">
      <w:pPr>
        <w:pStyle w:val="a7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bCs/>
          <w:sz w:val="24"/>
          <w:szCs w:val="24"/>
        </w:rPr>
      </w:pPr>
      <w:proofErr w:type="gramStart"/>
      <w:r w:rsidRPr="003B6568">
        <w:rPr>
          <w:bCs/>
          <w:sz w:val="24"/>
          <w:szCs w:val="24"/>
        </w:rPr>
        <w:t>Контроль за</w:t>
      </w:r>
      <w:proofErr w:type="gramEnd"/>
      <w:r w:rsidRPr="003B6568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362F6" w:rsidRPr="003B6568" w:rsidRDefault="00C362F6" w:rsidP="003B6568">
      <w:pPr>
        <w:pStyle w:val="a7"/>
        <w:numPr>
          <w:ilvl w:val="0"/>
          <w:numId w:val="1"/>
        </w:numPr>
        <w:tabs>
          <w:tab w:val="left" w:pos="750"/>
          <w:tab w:val="center" w:pos="4677"/>
        </w:tabs>
        <w:jc w:val="both"/>
        <w:rPr>
          <w:sz w:val="24"/>
          <w:szCs w:val="24"/>
        </w:rPr>
      </w:pPr>
      <w:r w:rsidRPr="003B6568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3B6568">
        <w:rPr>
          <w:bCs/>
          <w:sz w:val="24"/>
          <w:szCs w:val="24"/>
        </w:rPr>
        <w:t>Ильичевские</w:t>
      </w:r>
      <w:proofErr w:type="spellEnd"/>
      <w:r w:rsidRPr="003B6568">
        <w:rPr>
          <w:bCs/>
          <w:sz w:val="24"/>
          <w:szCs w:val="24"/>
        </w:rPr>
        <w:t xml:space="preserve"> ведомости»</w:t>
      </w:r>
      <w:r w:rsidR="003B6568" w:rsidRPr="003B6568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r w:rsidRPr="003B6568">
        <w:rPr>
          <w:bCs/>
          <w:sz w:val="24"/>
          <w:szCs w:val="24"/>
        </w:rPr>
        <w:t>.</w:t>
      </w: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C068E3">
        <w:rPr>
          <w:sz w:val="24"/>
          <w:szCs w:val="24"/>
        </w:rPr>
        <w:t>Глава Ильичевского сельсовета                                                       И.А. Меркель</w:t>
      </w: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1D4B5F" w:rsidRPr="00C068E3" w:rsidRDefault="001D4B5F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8A1025" w:rsidRDefault="008A1025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P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362F6" w:rsidRPr="00C068E3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C068E3">
        <w:rPr>
          <w:sz w:val="24"/>
          <w:szCs w:val="24"/>
        </w:rPr>
        <w:lastRenderedPageBreak/>
        <w:t xml:space="preserve">Приложение № 1 к постановлению </w:t>
      </w:r>
    </w:p>
    <w:p w:rsidR="00C362F6" w:rsidRPr="00C068E3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C068E3">
        <w:rPr>
          <w:sz w:val="24"/>
          <w:szCs w:val="24"/>
        </w:rPr>
        <w:t>от «</w:t>
      </w:r>
      <w:r w:rsidR="000A76F6">
        <w:rPr>
          <w:sz w:val="24"/>
          <w:szCs w:val="24"/>
        </w:rPr>
        <w:t>00</w:t>
      </w:r>
      <w:r w:rsidRPr="00C068E3">
        <w:rPr>
          <w:sz w:val="24"/>
          <w:szCs w:val="24"/>
        </w:rPr>
        <w:t>»</w:t>
      </w:r>
      <w:r w:rsidR="008A1025" w:rsidRPr="00C068E3">
        <w:rPr>
          <w:sz w:val="24"/>
          <w:szCs w:val="24"/>
        </w:rPr>
        <w:t xml:space="preserve"> </w:t>
      </w:r>
      <w:r w:rsidR="000A76F6">
        <w:rPr>
          <w:sz w:val="24"/>
          <w:szCs w:val="24"/>
        </w:rPr>
        <w:t>00</w:t>
      </w:r>
      <w:r w:rsidRPr="00C068E3">
        <w:rPr>
          <w:sz w:val="24"/>
          <w:szCs w:val="24"/>
        </w:rPr>
        <w:t xml:space="preserve"> 202</w:t>
      </w:r>
      <w:r w:rsidR="00C3756C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г. № </w:t>
      </w:r>
      <w:r w:rsidR="000A76F6">
        <w:rPr>
          <w:sz w:val="24"/>
          <w:szCs w:val="24"/>
        </w:rPr>
        <w:t>00</w:t>
      </w:r>
    </w:p>
    <w:p w:rsidR="00C362F6" w:rsidRPr="00C068E3" w:rsidRDefault="00C362F6" w:rsidP="00C362F6">
      <w:pPr>
        <w:rPr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C068E3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1D4B5F" w:rsidRPr="00C068E3">
        <w:rPr>
          <w:b/>
          <w:sz w:val="24"/>
          <w:szCs w:val="24"/>
        </w:rPr>
        <w:t>в сфере благоустройства</w:t>
      </w:r>
      <w:r w:rsidRPr="00C068E3">
        <w:rPr>
          <w:b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C068E3">
        <w:rPr>
          <w:b/>
          <w:bCs/>
          <w:sz w:val="24"/>
          <w:szCs w:val="24"/>
        </w:rPr>
        <w:t>Ильичевский</w:t>
      </w:r>
      <w:proofErr w:type="spellEnd"/>
      <w:r w:rsidRPr="00C068E3">
        <w:rPr>
          <w:b/>
          <w:bCs/>
          <w:sz w:val="24"/>
          <w:szCs w:val="24"/>
        </w:rPr>
        <w:t xml:space="preserve"> сельсовет» на 202</w:t>
      </w:r>
      <w:r w:rsidR="00C3756C">
        <w:rPr>
          <w:b/>
          <w:bCs/>
          <w:sz w:val="24"/>
          <w:szCs w:val="24"/>
        </w:rPr>
        <w:t>4</w:t>
      </w:r>
      <w:r w:rsidRPr="00C068E3">
        <w:rPr>
          <w:b/>
          <w:bCs/>
          <w:sz w:val="24"/>
          <w:szCs w:val="24"/>
        </w:rPr>
        <w:t xml:space="preserve"> год</w:t>
      </w:r>
    </w:p>
    <w:p w:rsidR="00C362F6" w:rsidRPr="00C068E3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sz w:val="24"/>
          <w:szCs w:val="24"/>
        </w:rPr>
      </w:pPr>
      <w:r w:rsidRPr="00C068E3">
        <w:rPr>
          <w:b/>
          <w:bCs/>
          <w:sz w:val="24"/>
          <w:szCs w:val="24"/>
        </w:rPr>
        <w:t>1. Общие положения 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</w:p>
    <w:p w:rsidR="001D4B5F" w:rsidRPr="00C068E3" w:rsidRDefault="001D4B5F" w:rsidP="001D4B5F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2. Аналитическая часть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2.1. Вид осуществляемого муниципального контроля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осуществляется администрацией Ильичевского сельсовета Шушенского района.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2.2. Обзор по виду муниципального контроля.        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C068E3">
        <w:rPr>
          <w:sz w:val="24"/>
          <w:szCs w:val="24"/>
        </w:rPr>
        <w:t>Муниципальный контроль за соблюдением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C068E3">
        <w:rPr>
          <w:sz w:val="24"/>
          <w:szCs w:val="24"/>
        </w:rPr>
        <w:t>, связанных с обеспечением благоустройства территории (далее - требования Правил благоустройства).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2.3. Муниципальный контроль осуществляется посредством: 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2.4. Подконтрольные субъекты: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- Решение Ильичевского сельского Совета депутатов от </w:t>
      </w:r>
      <w:r w:rsidRPr="00C068E3">
        <w:rPr>
          <w:sz w:val="24"/>
          <w:szCs w:val="24"/>
          <w:lang w:bidi="ru-RU"/>
        </w:rPr>
        <w:t>25.08.2017 № 64 «Об утверждении Правил благоустройства территории муниципального обр</w:t>
      </w:r>
      <w:r w:rsidR="00725A41">
        <w:rPr>
          <w:sz w:val="24"/>
          <w:szCs w:val="24"/>
          <w:lang w:bidi="ru-RU"/>
        </w:rPr>
        <w:t>азования «</w:t>
      </w:r>
      <w:proofErr w:type="spellStart"/>
      <w:r w:rsidR="00725A41">
        <w:rPr>
          <w:sz w:val="24"/>
          <w:szCs w:val="24"/>
          <w:lang w:bidi="ru-RU"/>
        </w:rPr>
        <w:t>Ильичевский</w:t>
      </w:r>
      <w:proofErr w:type="spellEnd"/>
      <w:r w:rsidR="00725A41">
        <w:rPr>
          <w:sz w:val="24"/>
          <w:szCs w:val="24"/>
          <w:lang w:bidi="ru-RU"/>
        </w:rPr>
        <w:t xml:space="preserve"> сельсовет</w:t>
      </w:r>
      <w:bookmarkStart w:id="0" w:name="_GoBack"/>
      <w:bookmarkEnd w:id="0"/>
      <w:r w:rsidRPr="00C068E3">
        <w:rPr>
          <w:sz w:val="24"/>
          <w:szCs w:val="24"/>
          <w:lang w:bidi="ru-RU"/>
        </w:rPr>
        <w:t>».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2.6. Данные о проведенных мероприятиях.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C068E3">
        <w:rPr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C068E3">
        <w:rPr>
          <w:sz w:val="24"/>
          <w:szCs w:val="24"/>
        </w:rPr>
        <w:lastRenderedPageBreak/>
        <w:t>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712CA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году не проводились.</w:t>
      </w:r>
      <w:proofErr w:type="gramEnd"/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Ильичевского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E712CA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году.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C068E3">
        <w:rPr>
          <w:sz w:val="24"/>
          <w:szCs w:val="24"/>
        </w:rPr>
        <w:t>Обеспечено размещение на официальной страницы администрации Ильичевского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  <w:r w:rsidRPr="00C068E3">
        <w:rPr>
          <w:sz w:val="24"/>
          <w:szCs w:val="24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C068E3">
        <w:rPr>
          <w:sz w:val="24"/>
          <w:szCs w:val="24"/>
        </w:rPr>
        <w:t>ресурсоснабжающих</w:t>
      </w:r>
      <w:proofErr w:type="spellEnd"/>
      <w:r w:rsidRPr="00C068E3">
        <w:rPr>
          <w:sz w:val="24"/>
          <w:szCs w:val="24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на 202</w:t>
      </w:r>
      <w:r w:rsidR="00E712CA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 не утверждался.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2.7. Анализ и оценка рисков причинения вреда охраняемым законом ценностям.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C068E3">
        <w:rPr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3. Цели и задачи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3.1. Цели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3.2. Задачи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прозрачности осуществляемой контрольной деятельности;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4. План мероприятий по профилактике нарушений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01C0F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801C0F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 (приложение). </w:t>
      </w: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5. Показатели результативности и эффективности Программы.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Отчетные показатели Программы за 202</w:t>
      </w:r>
      <w:r w:rsidR="00E712CA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доля профилактических мероприятий в объеме контрольных мероприятий – 80%.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Экономический эффект от реализованных мероприятий: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уровня доверия подконтрольных субъектов к контрольным органам. </w:t>
      </w: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6. Порядок управления Программой.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</w:p>
    <w:p w:rsidR="008E703A" w:rsidRPr="00C068E3" w:rsidRDefault="008E703A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4004"/>
        <w:gridCol w:w="1862"/>
      </w:tblGrid>
      <w:tr w:rsidR="001D4B5F" w:rsidRPr="00C068E3" w:rsidTr="008E703A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№</w:t>
            </w:r>
            <w:r w:rsidR="008E703A" w:rsidRPr="00C068E3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068E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068E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1D4B5F" w:rsidRPr="00C068E3" w:rsidTr="008E703A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27" w:right="86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8E703A" w:rsidRPr="00C068E3">
              <w:rPr>
                <w:sz w:val="24"/>
                <w:szCs w:val="24"/>
              </w:rPr>
              <w:t>Ильичевского</w:t>
            </w:r>
            <w:r w:rsidRPr="00C068E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67" w:right="61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64" w:right="140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8(39139)2</w:t>
            </w:r>
            <w:r w:rsidR="008E703A" w:rsidRPr="00C068E3">
              <w:rPr>
                <w:sz w:val="24"/>
                <w:szCs w:val="24"/>
              </w:rPr>
              <w:t>6691</w:t>
            </w:r>
          </w:p>
          <w:p w:rsidR="001D4B5F" w:rsidRPr="00C068E3" w:rsidRDefault="00725A41" w:rsidP="008E703A">
            <w:pPr>
              <w:ind w:left="64" w:right="140"/>
              <w:jc w:val="both"/>
              <w:outlineLvl w:val="0"/>
              <w:rPr>
                <w:sz w:val="24"/>
                <w:szCs w:val="24"/>
              </w:rPr>
            </w:pPr>
            <w:hyperlink r:id="rId6" w:history="1">
              <w:r w:rsidR="008E703A" w:rsidRPr="00C068E3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8E703A" w:rsidRPr="00C068E3">
                <w:rPr>
                  <w:rStyle w:val="a4"/>
                  <w:bCs/>
                  <w:sz w:val="24"/>
                  <w:szCs w:val="24"/>
                </w:rPr>
                <w:t>.</w:t>
              </w:r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068E3">
        <w:rPr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C068E3">
        <w:rPr>
          <w:sz w:val="24"/>
          <w:szCs w:val="24"/>
        </w:rPr>
        <w:t xml:space="preserve">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="003B6568">
        <w:rPr>
          <w:sz w:val="24"/>
          <w:szCs w:val="24"/>
        </w:rPr>
        <w:t xml:space="preserve"> </w:t>
      </w:r>
      <w:r w:rsidRPr="00C068E3">
        <w:rPr>
          <w:sz w:val="24"/>
          <w:szCs w:val="24"/>
        </w:rPr>
        <w:t>сельсовет» на 202</w:t>
      </w:r>
      <w:r w:rsidR="003B6568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год.</w:t>
      </w:r>
    </w:p>
    <w:p w:rsidR="00C068E3" w:rsidRDefault="001D4B5F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  <w:r w:rsidRPr="00C068E3">
        <w:rPr>
          <w:sz w:val="24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на 202</w:t>
      </w:r>
      <w:r w:rsidR="00E712CA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год. </w:t>
      </w:r>
      <w:r w:rsidRPr="00C068E3">
        <w:rPr>
          <w:b/>
          <w:bCs/>
          <w:i/>
          <w:iCs/>
          <w:sz w:val="24"/>
          <w:szCs w:val="24"/>
        </w:rPr>
        <w:t> </w:t>
      </w:r>
    </w:p>
    <w:p w:rsidR="001D4B5F" w:rsidRPr="00C068E3" w:rsidRDefault="001D4B5F" w:rsidP="003B6568">
      <w:pPr>
        <w:spacing w:after="150"/>
        <w:ind w:left="4253"/>
        <w:jc w:val="both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bCs/>
          <w:iCs/>
          <w:sz w:val="24"/>
          <w:szCs w:val="24"/>
        </w:rPr>
        <w:t>Ильичевский</w:t>
      </w:r>
      <w:proofErr w:type="spellEnd"/>
      <w:r w:rsidRPr="00C068E3">
        <w:rPr>
          <w:bCs/>
          <w:iCs/>
          <w:sz w:val="24"/>
          <w:szCs w:val="24"/>
        </w:rPr>
        <w:t xml:space="preserve"> сельсовет» на 202</w:t>
      </w:r>
      <w:r w:rsidR="00E712CA">
        <w:rPr>
          <w:bCs/>
          <w:iCs/>
          <w:sz w:val="24"/>
          <w:szCs w:val="24"/>
        </w:rPr>
        <w:t>4</w:t>
      </w:r>
      <w:r w:rsidRPr="00C068E3">
        <w:rPr>
          <w:bCs/>
          <w:iCs/>
          <w:sz w:val="24"/>
          <w:szCs w:val="24"/>
        </w:rPr>
        <w:t xml:space="preserve"> год </w:t>
      </w:r>
    </w:p>
    <w:p w:rsidR="001D4B5F" w:rsidRPr="00C068E3" w:rsidRDefault="001D4B5F" w:rsidP="001D4B5F">
      <w:pPr>
        <w:ind w:firstLine="709"/>
        <w:jc w:val="both"/>
        <w:outlineLvl w:val="0"/>
        <w:rPr>
          <w:bCs/>
          <w:iCs/>
          <w:sz w:val="24"/>
          <w:szCs w:val="24"/>
        </w:rPr>
      </w:pP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proofErr w:type="spellStart"/>
      <w:r w:rsidR="008E703A" w:rsidRPr="00C068E3">
        <w:rPr>
          <w:b/>
          <w:bCs/>
          <w:sz w:val="24"/>
          <w:szCs w:val="24"/>
        </w:rPr>
        <w:t>Ильичевский</w:t>
      </w:r>
      <w:proofErr w:type="spellEnd"/>
      <w:r w:rsidR="008E703A" w:rsidRPr="00C068E3">
        <w:rPr>
          <w:b/>
          <w:bCs/>
          <w:sz w:val="24"/>
          <w:szCs w:val="24"/>
        </w:rPr>
        <w:t xml:space="preserve"> </w:t>
      </w:r>
      <w:r w:rsidR="00E712CA">
        <w:rPr>
          <w:b/>
          <w:bCs/>
          <w:sz w:val="24"/>
          <w:szCs w:val="24"/>
        </w:rPr>
        <w:t>сельсовет» на 2023</w:t>
      </w:r>
      <w:r w:rsidRPr="00C068E3">
        <w:rPr>
          <w:b/>
          <w:bCs/>
          <w:sz w:val="24"/>
          <w:szCs w:val="24"/>
        </w:rPr>
        <w:t xml:space="preserve"> год 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278"/>
        <w:gridCol w:w="4394"/>
        <w:gridCol w:w="1870"/>
        <w:gridCol w:w="1419"/>
      </w:tblGrid>
      <w:tr w:rsidR="001D4B5F" w:rsidRPr="00C068E3" w:rsidTr="00C068E3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№</w:t>
            </w:r>
          </w:p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C068E3">
              <w:rPr>
                <w:bCs/>
                <w:sz w:val="24"/>
                <w:szCs w:val="24"/>
              </w:rPr>
              <w:t>п</w:t>
            </w:r>
            <w:proofErr w:type="gramEnd"/>
            <w:r w:rsidRPr="00C068E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36" w:right="106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1D4B5F" w:rsidRPr="00C068E3" w:rsidTr="00C068E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09"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36" w:right="106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 осуществляет информирование контролируемых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 и иных заинтересованных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вопросам соблюдения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1)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6) доклады о муниципальном контроле;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  <w:p w:rsidR="001D4B5F" w:rsidRPr="00C068E3" w:rsidRDefault="001D4B5F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    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C068E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   </w:t>
            </w:r>
            <w:r w:rsidR="001D4B5F" w:rsidRPr="00C068E3">
              <w:rPr>
                <w:sz w:val="22"/>
                <w:szCs w:val="22"/>
              </w:rPr>
              <w:t>2.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0C7C08" w:rsidRPr="00C068E3">
              <w:rPr>
                <w:sz w:val="22"/>
                <w:szCs w:val="22"/>
              </w:rPr>
              <w:t>июля</w:t>
            </w:r>
            <w:r w:rsidRPr="00C068E3">
              <w:rPr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 раз в год</w:t>
            </w:r>
          </w:p>
        </w:tc>
      </w:tr>
      <w:tr w:rsidR="001D4B5F" w:rsidRPr="00C068E3" w:rsidTr="00C068E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ind w:left="-426" w:firstLine="413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C068E3">
              <w:rPr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также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 xml:space="preserve">о непосредственных нарушениях обязательных требований, если указанные сведения не соответствуют утвержденным </w:t>
            </w:r>
            <w:r w:rsidRPr="00C068E3">
              <w:rPr>
                <w:sz w:val="22"/>
                <w:szCs w:val="22"/>
              </w:rPr>
              <w:lastRenderedPageBreak/>
              <w:t>индикаторам риска нарушения обязательных требований,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контрольный орган объявляет контролируемому лицу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предостережение о недопустимости нарушения обязательных требований и предлагает принять меры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 обеспечению соблюдения обязательных требований.   </w:t>
            </w:r>
            <w:proofErr w:type="gramEnd"/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C068E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lastRenderedPageBreak/>
              <w:t xml:space="preserve">  </w:t>
            </w:r>
            <w:r w:rsidR="001D4B5F" w:rsidRPr="00C068E3">
              <w:rPr>
                <w:sz w:val="22"/>
                <w:szCs w:val="22"/>
              </w:rPr>
              <w:t>4.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компетенция уполномоченного органа;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C068E3">
              <w:rPr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</w:tbl>
    <w:p w:rsidR="00882672" w:rsidRPr="00C068E3" w:rsidRDefault="00882672" w:rsidP="00C068E3">
      <w:pPr>
        <w:jc w:val="both"/>
        <w:outlineLvl w:val="0"/>
        <w:rPr>
          <w:sz w:val="24"/>
          <w:szCs w:val="24"/>
        </w:rPr>
      </w:pPr>
    </w:p>
    <w:sectPr w:rsidR="00882672" w:rsidRPr="00C068E3" w:rsidSect="00C362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34F"/>
    <w:multiLevelType w:val="hybridMultilevel"/>
    <w:tmpl w:val="2930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57"/>
    <w:rsid w:val="000A76F6"/>
    <w:rsid w:val="000C7C08"/>
    <w:rsid w:val="001D4B5F"/>
    <w:rsid w:val="00290B68"/>
    <w:rsid w:val="00380C00"/>
    <w:rsid w:val="003B6568"/>
    <w:rsid w:val="003F6F34"/>
    <w:rsid w:val="005131DA"/>
    <w:rsid w:val="00552157"/>
    <w:rsid w:val="007239E7"/>
    <w:rsid w:val="00725A41"/>
    <w:rsid w:val="007974BF"/>
    <w:rsid w:val="00801C0F"/>
    <w:rsid w:val="00882672"/>
    <w:rsid w:val="008A1025"/>
    <w:rsid w:val="008E703A"/>
    <w:rsid w:val="00C068E3"/>
    <w:rsid w:val="00C27431"/>
    <w:rsid w:val="00C34BCF"/>
    <w:rsid w:val="00C362F6"/>
    <w:rsid w:val="00C3756C"/>
    <w:rsid w:val="00D31A4F"/>
    <w:rsid w:val="00E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1D4B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6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1D4B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6273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2023-10-26T02:25:00Z</cp:lastPrinted>
  <dcterms:created xsi:type="dcterms:W3CDTF">2021-11-23T06:41:00Z</dcterms:created>
  <dcterms:modified xsi:type="dcterms:W3CDTF">2023-10-26T02:26:00Z</dcterms:modified>
</cp:coreProperties>
</file>